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w:t>
      </w:r>
      <w:r w:rsidR="00066D60">
        <w:rPr>
          <w:rFonts w:ascii="Times New Roman" w:hAnsi="Times New Roman"/>
          <w:b/>
          <w:bCs/>
          <w:sz w:val="28"/>
          <w:szCs w:val="28"/>
        </w:rPr>
        <w:t>4</w:t>
      </w:r>
      <w:r w:rsidR="00AC64C0">
        <w:rPr>
          <w:rFonts w:ascii="Times New Roman" w:hAnsi="Times New Roman"/>
          <w:b/>
          <w:bCs/>
          <w:sz w:val="28"/>
          <w:szCs w:val="28"/>
        </w:rPr>
        <w:t>2</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rsidP="00B17EC8">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rsidP="00B17EC8">
      <w:pPr>
        <w:widowControl w:val="0"/>
        <w:autoSpaceDE w:val="0"/>
        <w:autoSpaceDN w:val="0"/>
        <w:adjustRightInd w:val="0"/>
        <w:spacing w:after="0" w:line="240" w:lineRule="auto"/>
        <w:ind w:right="38"/>
        <w:rPr>
          <w:rFonts w:ascii="Times New Roman" w:hAnsi="Times New Roman"/>
          <w:sz w:val="24"/>
          <w:szCs w:val="24"/>
        </w:rPr>
      </w:pPr>
      <w:r>
        <w:rPr>
          <w:rFonts w:ascii="Times New Roman" w:hAnsi="Times New Roman"/>
          <w:sz w:val="24"/>
          <w:szCs w:val="24"/>
        </w:rPr>
        <w:t>un</w:t>
      </w:r>
    </w:p>
    <w:p w:rsidR="004A4E5A" w:rsidRDefault="00AC64C0" w:rsidP="00B17EC8">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S</w:t>
      </w:r>
      <w:r w:rsidRPr="003134B1">
        <w:rPr>
          <w:rFonts w:ascii="Times New Roman" w:hAnsi="Times New Roman"/>
          <w:b/>
          <w:bCs/>
          <w:sz w:val="24"/>
          <w:szCs w:val="24"/>
        </w:rPr>
        <w:t>abiedrība ar ierobežotu atbildību</w:t>
      </w:r>
      <w:r>
        <w:rPr>
          <w:rFonts w:ascii="Times New Roman" w:hAnsi="Times New Roman"/>
          <w:sz w:val="24"/>
          <w:szCs w:val="24"/>
        </w:rPr>
        <w:t xml:space="preserve">, </w:t>
      </w:r>
      <w:r w:rsidRPr="003134B1">
        <w:rPr>
          <w:rFonts w:ascii="Times New Roman" w:hAnsi="Times New Roman"/>
          <w:b/>
          <w:sz w:val="24"/>
          <w:szCs w:val="24"/>
        </w:rPr>
        <w:t>„</w:t>
      </w:r>
      <w:r w:rsidRPr="000D1FC8">
        <w:rPr>
          <w:rFonts w:ascii="Times New Roman" w:hAnsi="Times New Roman"/>
          <w:b/>
          <w:sz w:val="24"/>
          <w:szCs w:val="24"/>
        </w:rPr>
        <w:t xml:space="preserve">R.A.L.”, </w:t>
      </w:r>
      <w:r w:rsidRPr="00CE5D95">
        <w:rPr>
          <w:rFonts w:ascii="Times New Roman" w:hAnsi="Times New Roman"/>
          <w:sz w:val="24"/>
          <w:szCs w:val="24"/>
        </w:rPr>
        <w:t xml:space="preserve">reģistrācijas Nr. 50003259951, juridiskā adrese: Brīvības iela 85, Rīga LV-1001, kuru saskaņā ar statūtiem pārstāv valdes loceklis </w:t>
      </w:r>
      <w:r w:rsidRPr="000D1FC8">
        <w:rPr>
          <w:rFonts w:ascii="Times New Roman" w:hAnsi="Times New Roman"/>
          <w:b/>
          <w:sz w:val="24"/>
          <w:szCs w:val="24"/>
        </w:rPr>
        <w:t>Uldis Ķelle</w:t>
      </w:r>
      <w:r>
        <w:rPr>
          <w:rFonts w:ascii="Times New Roman" w:hAnsi="Times New Roman"/>
          <w:sz w:val="24"/>
          <w:szCs w:val="24"/>
        </w:rPr>
        <w:t xml:space="preserve"> </w:t>
      </w:r>
      <w:r w:rsidR="004A4E5A">
        <w:rPr>
          <w:rFonts w:ascii="Times New Roman" w:hAnsi="Times New Roman"/>
          <w:sz w:val="24"/>
          <w:szCs w:val="24"/>
        </w:rPr>
        <w:t>(turpmāk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AC64C0">
        <w:rPr>
          <w:rFonts w:ascii="Times New Roman" w:hAnsi="Times New Roman"/>
          <w:b/>
          <w:color w:val="000000"/>
          <w:sz w:val="24"/>
          <w:szCs w:val="24"/>
        </w:rPr>
        <w:t>1700</w:t>
      </w:r>
      <w:r w:rsidR="00E074CF" w:rsidRPr="003E6F76">
        <w:rPr>
          <w:rFonts w:ascii="Times New Roman" w:hAnsi="Times New Roman"/>
          <w:b/>
          <w:color w:val="000000"/>
          <w:sz w:val="24"/>
          <w:szCs w:val="24"/>
        </w:rPr>
        <w:t>,</w:t>
      </w:r>
      <w:r w:rsidR="00066D60">
        <w:rPr>
          <w:rFonts w:ascii="Times New Roman" w:hAnsi="Times New Roman"/>
          <w:b/>
          <w:color w:val="000000"/>
          <w:sz w:val="24"/>
          <w:szCs w:val="24"/>
        </w:rPr>
        <w:t>0</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AC64C0">
        <w:rPr>
          <w:rFonts w:ascii="Times New Roman" w:hAnsi="Times New Roman"/>
          <w:color w:val="000000"/>
          <w:sz w:val="24"/>
          <w:szCs w:val="24"/>
        </w:rPr>
        <w:t>viens tūkstotis septiņi simti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066D60">
        <w:rPr>
          <w:rFonts w:ascii="Times New Roman" w:hAnsi="Times New Roman"/>
          <w:sz w:val="24"/>
          <w:szCs w:val="24"/>
        </w:rPr>
        <w:t>0</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AC64C0">
        <w:rPr>
          <w:rFonts w:ascii="Times New Roman" w:hAnsi="Times New Roman"/>
          <w:sz w:val="24"/>
          <w:szCs w:val="24"/>
          <w:lang w:eastAsia="en-US"/>
        </w:rPr>
        <w:t>1904</w:t>
      </w:r>
      <w:r w:rsidR="004B7DB8">
        <w:rPr>
          <w:rFonts w:ascii="Times New Roman" w:hAnsi="Times New Roman"/>
          <w:sz w:val="24"/>
          <w:szCs w:val="24"/>
          <w:lang w:eastAsia="en-US"/>
        </w:rPr>
        <w:t>,</w:t>
      </w:r>
      <w:r w:rsidR="00AC64C0">
        <w:rPr>
          <w:rFonts w:ascii="Times New Roman" w:hAnsi="Times New Roman"/>
          <w:sz w:val="24"/>
          <w:szCs w:val="24"/>
          <w:lang w:eastAsia="en-US"/>
        </w:rPr>
        <w:t>0</w:t>
      </w:r>
      <w:r w:rsidR="00066D60">
        <w:rPr>
          <w:rFonts w:ascii="Times New Roman" w:hAnsi="Times New Roman"/>
          <w:sz w:val="24"/>
          <w:szCs w:val="24"/>
          <w:lang w:eastAsia="en-US"/>
        </w:rPr>
        <w:t>0</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AC64C0">
        <w:rPr>
          <w:rFonts w:ascii="Times New Roman" w:hAnsi="Times New Roman"/>
          <w:sz w:val="24"/>
          <w:szCs w:val="24"/>
          <w:lang w:eastAsia="en-US"/>
        </w:rPr>
        <w:t xml:space="preserve">viens tūkstotis deviņi simti četri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066D60">
        <w:rPr>
          <w:rFonts w:ascii="Times New Roman" w:hAnsi="Times New Roman"/>
          <w:sz w:val="24"/>
          <w:szCs w:val="24"/>
          <w:lang w:eastAsia="en-US"/>
        </w:rPr>
        <w:t>60</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ievērojot Līguma </w:t>
      </w:r>
      <w:r w:rsidR="00320529" w:rsidRPr="00C56B36">
        <w:rPr>
          <w:rFonts w:ascii="Times New Roman" w:hAnsi="Times New Roman"/>
          <w:sz w:val="24"/>
          <w:szCs w:val="24"/>
          <w:lang w:eastAsia="en-US"/>
        </w:rPr>
        <w:lastRenderedPageBreak/>
        <w:t>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066D60"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066D60" w:rsidRPr="002C2323">
        <w:rPr>
          <w:rFonts w:ascii="Times New Roman" w:hAnsi="Times New Roman"/>
          <w:sz w:val="24"/>
          <w:szCs w:val="24"/>
        </w:rPr>
        <w:t xml:space="preserve">Tirdzniecības pārstāve </w:t>
      </w:r>
      <w:r w:rsidR="00546B3D">
        <w:rPr>
          <w:rFonts w:ascii="Times New Roman" w:hAnsi="Times New Roman"/>
          <w:sz w:val="24"/>
          <w:szCs w:val="24"/>
        </w:rPr>
        <w:t>Inguna Ceplīte</w:t>
      </w:r>
      <w:r w:rsidR="00066D60" w:rsidRPr="002C2323">
        <w:rPr>
          <w:rFonts w:ascii="Times New Roman" w:hAnsi="Times New Roman"/>
          <w:sz w:val="24"/>
          <w:szCs w:val="24"/>
        </w:rPr>
        <w:t>,</w:t>
      </w:r>
      <w:r w:rsidR="00066D60" w:rsidRPr="002C2323">
        <w:rPr>
          <w:rFonts w:ascii="Times New Roman" w:hAnsi="Times New Roman"/>
          <w:i/>
          <w:iCs/>
          <w:sz w:val="24"/>
          <w:szCs w:val="24"/>
        </w:rPr>
        <w:t xml:space="preserve"> </w:t>
      </w:r>
      <w:r w:rsidR="00066D60" w:rsidRPr="002C2323">
        <w:rPr>
          <w:rFonts w:ascii="Times New Roman" w:hAnsi="Times New Roman"/>
          <w:sz w:val="24"/>
          <w:szCs w:val="24"/>
        </w:rPr>
        <w:t>tālr. 67</w:t>
      </w:r>
      <w:r w:rsidR="00546B3D">
        <w:rPr>
          <w:rFonts w:ascii="Times New Roman" w:hAnsi="Times New Roman"/>
          <w:sz w:val="24"/>
          <w:szCs w:val="24"/>
        </w:rPr>
        <w:t>315242</w:t>
      </w:r>
      <w:r w:rsidR="00066D60" w:rsidRPr="002C2323">
        <w:rPr>
          <w:rFonts w:ascii="Times New Roman" w:hAnsi="Times New Roman"/>
          <w:sz w:val="24"/>
          <w:szCs w:val="24"/>
        </w:rPr>
        <w:t>, fakss 67</w:t>
      </w:r>
      <w:r w:rsidR="00546B3D">
        <w:rPr>
          <w:rFonts w:ascii="Times New Roman" w:hAnsi="Times New Roman"/>
          <w:sz w:val="24"/>
          <w:szCs w:val="24"/>
        </w:rPr>
        <w:t>297828</w:t>
      </w:r>
      <w:r w:rsidR="00066D60" w:rsidRPr="002C2323">
        <w:rPr>
          <w:rFonts w:ascii="Times New Roman" w:hAnsi="Times New Roman"/>
          <w:sz w:val="24"/>
          <w:szCs w:val="24"/>
        </w:rPr>
        <w:t>, e- pasts</w:t>
      </w:r>
      <w:r w:rsidR="00546B3D">
        <w:rPr>
          <w:rFonts w:ascii="Times New Roman" w:hAnsi="Times New Roman"/>
          <w:sz w:val="24"/>
          <w:szCs w:val="24"/>
        </w:rPr>
        <w:t>:</w:t>
      </w:r>
      <w:r w:rsidR="00066D60" w:rsidRPr="002C2323">
        <w:rPr>
          <w:rFonts w:ascii="Times New Roman" w:hAnsi="Times New Roman"/>
          <w:sz w:val="24"/>
          <w:szCs w:val="24"/>
        </w:rPr>
        <w:t xml:space="preserve"> </w:t>
      </w:r>
      <w:hyperlink r:id="rId8" w:history="1">
        <w:r w:rsidR="00B17EC8" w:rsidRPr="00815035">
          <w:rPr>
            <w:rStyle w:val="Hyperlink"/>
            <w:rFonts w:ascii="Times New Roman" w:hAnsi="Times New Roman"/>
            <w:sz w:val="24"/>
            <w:szCs w:val="24"/>
          </w:rPr>
          <w:t>ral85@inbox.lv</w:t>
        </w:r>
      </w:hyperlink>
      <w:bookmarkStart w:id="0" w:name="_GoBack"/>
      <w:bookmarkEnd w:id="0"/>
      <w:r w:rsidR="00546B3D">
        <w:rPr>
          <w:rFonts w:ascii="Times New Roman" w:hAnsi="Times New Roman"/>
          <w:sz w:val="24"/>
          <w:szCs w:val="24"/>
        </w:rPr>
        <w:t>.</w:t>
      </w:r>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4.4. Pasūtītājs paziņo Piegādātājam par nepieciešamo preču daudzumu telefoniski pa tālr. 67</w:t>
      </w:r>
      <w:r w:rsidR="00546B3D">
        <w:rPr>
          <w:rFonts w:ascii="Times New Roman" w:hAnsi="Times New Roman"/>
          <w:sz w:val="24"/>
          <w:szCs w:val="24"/>
        </w:rPr>
        <w:t>315242</w:t>
      </w:r>
      <w:r w:rsidRPr="00733D7A">
        <w:rPr>
          <w:rFonts w:ascii="Times New Roman" w:hAnsi="Times New Roman"/>
          <w:sz w:val="24"/>
          <w:szCs w:val="24"/>
        </w:rPr>
        <w:t xml:space="preserve">, elektroniski uz e-pasta adresi: </w:t>
      </w:r>
      <w:hyperlink r:id="rId9" w:history="1">
        <w:r w:rsidR="00546B3D" w:rsidRPr="00E85D58">
          <w:rPr>
            <w:rStyle w:val="Hyperlink"/>
            <w:rFonts w:ascii="Times New Roman" w:hAnsi="Times New Roman"/>
            <w:sz w:val="24"/>
            <w:szCs w:val="24"/>
          </w:rPr>
          <w:t>ral85@inbox.lv</w:t>
        </w:r>
      </w:hyperlink>
      <w:r w:rsidR="00546B3D">
        <w:rPr>
          <w:rFonts w:ascii="Times New Roman" w:hAnsi="Times New Roman"/>
          <w:sz w:val="24"/>
          <w:szCs w:val="24"/>
        </w:rPr>
        <w:t xml:space="preserve"> </w:t>
      </w:r>
      <w:r w:rsidRPr="00733D7A">
        <w:rPr>
          <w:rFonts w:ascii="Times New Roman" w:hAnsi="Times New Roman"/>
          <w:sz w:val="24"/>
          <w:szCs w:val="24"/>
        </w:rPr>
        <w:t xml:space="preserve">vai rakstiski, nosūtot pieprasījumu pa faksu: </w:t>
      </w:r>
      <w:r w:rsidR="00546B3D">
        <w:rPr>
          <w:rFonts w:ascii="Times New Roman" w:hAnsi="Times New Roman"/>
          <w:sz w:val="24"/>
          <w:szCs w:val="24"/>
        </w:rPr>
        <w:t>67297828</w:t>
      </w:r>
      <w:r w:rsidRPr="00733D7A">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D02B71">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lastRenderedPageBreak/>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lastRenderedPageBreak/>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w:t>
      </w:r>
      <w:r w:rsidR="004A4E5A">
        <w:rPr>
          <w:rFonts w:ascii="Times New Roman" w:hAnsi="Times New Roman"/>
          <w:sz w:val="24"/>
          <w:szCs w:val="24"/>
        </w:rPr>
        <w:lastRenderedPageBreak/>
        <w:t xml:space="preserve">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066D60" w:rsidRPr="00C00D41" w:rsidRDefault="00066D60"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SIA „R.A.L.”</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Reģ. Nr.</w:t>
            </w:r>
            <w:r w:rsidRPr="009F4312">
              <w:rPr>
                <w:rFonts w:ascii="Times New Roman" w:hAnsi="Times New Roman"/>
                <w:sz w:val="24"/>
                <w:szCs w:val="24"/>
              </w:rPr>
              <w:t xml:space="preserve"> </w:t>
            </w:r>
            <w:r w:rsidRPr="009F4312">
              <w:rPr>
                <w:rFonts w:ascii="Times New Roman" w:hAnsi="Times New Roman"/>
                <w:sz w:val="24"/>
                <w:szCs w:val="24"/>
                <w:lang w:eastAsia="en-US"/>
              </w:rPr>
              <w:t>50003259951</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 xml:space="preserve">Brīvības iela 85, Rīga LV-1001 </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tālrunis 67316372; fakss 67315242</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Banka: AS Swedbank</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Konts LV55HABA0001408032222</w:t>
            </w:r>
            <w:r w:rsidRPr="009F4312">
              <w:rPr>
                <w:rFonts w:ascii="Times New Roman" w:hAnsi="Times New Roman"/>
                <w:sz w:val="24"/>
                <w:szCs w:val="24"/>
                <w:lang w:eastAsia="en-US"/>
              </w:rPr>
              <w:tab/>
            </w:r>
            <w:r w:rsidRPr="009F4312">
              <w:rPr>
                <w:rFonts w:ascii="Times New Roman" w:hAnsi="Times New Roman"/>
                <w:sz w:val="24"/>
                <w:szCs w:val="24"/>
                <w:lang w:eastAsia="en-US"/>
              </w:rPr>
              <w:tab/>
            </w:r>
          </w:p>
          <w:p w:rsidR="00AC64C0" w:rsidRPr="009F4312" w:rsidRDefault="00AC64C0" w:rsidP="00AC64C0">
            <w:pPr>
              <w:spacing w:after="0" w:line="240" w:lineRule="auto"/>
              <w:rPr>
                <w:rFonts w:ascii="Times New Roman" w:hAnsi="Times New Roman"/>
                <w:sz w:val="24"/>
                <w:szCs w:val="24"/>
                <w:lang w:eastAsia="en-US"/>
              </w:rPr>
            </w:pPr>
            <w:r>
              <w:rPr>
                <w:rFonts w:ascii="Times New Roman" w:hAnsi="Times New Roman"/>
                <w:sz w:val="24"/>
                <w:szCs w:val="24"/>
                <w:lang w:eastAsia="en-US"/>
              </w:rPr>
              <w:t>Kods HABALV22</w:t>
            </w:r>
          </w:p>
          <w:p w:rsidR="00AC64C0" w:rsidRDefault="00AC64C0" w:rsidP="00AC64C0">
            <w:pPr>
              <w:spacing w:after="0" w:line="240" w:lineRule="auto"/>
              <w:rPr>
                <w:rFonts w:ascii="Times New Roman" w:hAnsi="Times New Roman"/>
                <w:b/>
                <w:sz w:val="24"/>
                <w:szCs w:val="24"/>
                <w:lang w:eastAsia="ru-RU"/>
              </w:rPr>
            </w:pPr>
          </w:p>
          <w:p w:rsidR="00AC64C0" w:rsidRPr="009F4312" w:rsidRDefault="00AC64C0" w:rsidP="00AC64C0">
            <w:pPr>
              <w:spacing w:after="0" w:line="240" w:lineRule="auto"/>
              <w:rPr>
                <w:rFonts w:ascii="Times New Roman" w:hAnsi="Times New Roman"/>
                <w:b/>
                <w:sz w:val="24"/>
                <w:szCs w:val="24"/>
                <w:lang w:eastAsia="ru-RU"/>
              </w:rPr>
            </w:pPr>
          </w:p>
          <w:p w:rsidR="00AC64C0" w:rsidRPr="009F4312" w:rsidRDefault="00AC64C0" w:rsidP="00AC64C0">
            <w:pPr>
              <w:spacing w:after="0" w:line="240" w:lineRule="auto"/>
              <w:jc w:val="both"/>
              <w:rPr>
                <w:rFonts w:ascii="Times New Roman" w:hAnsi="Times New Roman"/>
                <w:sz w:val="24"/>
                <w:szCs w:val="24"/>
                <w:lang w:eastAsia="ru-RU"/>
              </w:rPr>
            </w:pPr>
            <w:r w:rsidRPr="009F4312">
              <w:rPr>
                <w:rFonts w:ascii="Times New Roman" w:hAnsi="Times New Roman"/>
                <w:sz w:val="24"/>
                <w:szCs w:val="24"/>
                <w:lang w:eastAsia="ru-RU"/>
              </w:rPr>
              <w:t>_____________________________</w:t>
            </w:r>
          </w:p>
          <w:p w:rsidR="00C16CC8" w:rsidRDefault="00AC64C0" w:rsidP="00AC64C0">
            <w:pPr>
              <w:pStyle w:val="Title"/>
              <w:jc w:val="left"/>
              <w:rPr>
                <w:rFonts w:ascii="Times New Roman" w:hAnsi="Times New Roman"/>
                <w:b w:val="0"/>
                <w:lang w:eastAsia="en-US"/>
              </w:rPr>
            </w:pPr>
            <w:r>
              <w:rPr>
                <w:rFonts w:ascii="Times New Roman" w:hAnsi="Times New Roman"/>
                <w:b w:val="0"/>
              </w:rPr>
              <w:t>valdes loceklis Uldis Ķelle</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10"/>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18D" w:rsidRDefault="0008618D" w:rsidP="00C220EB">
      <w:pPr>
        <w:spacing w:after="0" w:line="240" w:lineRule="auto"/>
      </w:pPr>
      <w:r>
        <w:separator/>
      </w:r>
    </w:p>
  </w:endnote>
  <w:endnote w:type="continuationSeparator" w:id="0">
    <w:p w:rsidR="0008618D" w:rsidRDefault="0008618D"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B17EC8">
      <w:rPr>
        <w:noProof/>
      </w:rPr>
      <w:t>4</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18D" w:rsidRDefault="0008618D" w:rsidP="00C220EB">
      <w:pPr>
        <w:spacing w:after="0" w:line="240" w:lineRule="auto"/>
      </w:pPr>
      <w:r>
        <w:separator/>
      </w:r>
    </w:p>
  </w:footnote>
  <w:footnote w:type="continuationSeparator" w:id="0">
    <w:p w:rsidR="0008618D" w:rsidRDefault="0008618D"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3CF4"/>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66D60"/>
    <w:rsid w:val="000700BD"/>
    <w:rsid w:val="0008618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0F6F29"/>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46B3D"/>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3765"/>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C64C0"/>
    <w:rsid w:val="00AD6C40"/>
    <w:rsid w:val="00AE14C6"/>
    <w:rsid w:val="00AE3447"/>
    <w:rsid w:val="00AF5AB6"/>
    <w:rsid w:val="00B1665E"/>
    <w:rsid w:val="00B17EC8"/>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85@inbox.lv"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l85@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9119</Words>
  <Characters>5199</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14290</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2019-03-01T10:55:00Z</cp:lastPrinted>
  <dcterms:created xsi:type="dcterms:W3CDTF">2019-03-01T10:55:00Z</dcterms:created>
  <dcterms:modified xsi:type="dcterms:W3CDTF">2019-03-01T10:55:00Z</dcterms:modified>
</cp:coreProperties>
</file>